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Форма 03.60</w:t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Договор №</w:t>
      </w:r>
    </w:p>
    <w:p>
      <w:pPr>
        <w:pStyle w:val="Normal"/>
        <w:spacing w:lineRule="auto" w:line="276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на оказание услуг по подтверждению соответствия продукции</w:t>
      </w:r>
    </w:p>
    <w:p>
      <w:pPr>
        <w:pStyle w:val="Normal"/>
        <w:spacing w:lineRule="auto" w:line="276"/>
        <w:ind w:firstLine="28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г. Москва </w:t>
        <w:tab/>
        <w:tab/>
        <w:tab/>
        <w:tab/>
        <w:tab/>
        <w:tab/>
        <w:tab/>
        <w:tab/>
        <w:tab/>
        <w:tab/>
        <w:t>«__» _______ 20__г.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Общество с ограниченной ответственностью «_________», именуемое в дальнейшем Заказчик, в лице генерального директора _______________, действующего на основании Устава, с одной стороны и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Общество с ограниченной ответственностью «Центр Тест Сервис», именуемое в дальнейшем Исполнитель, в лице генерального директора Новикова В.Ю., действующего на основании Устава, с другой стороны, вместе именуемые Стороны, а по отдельности Сторона, заключили настоящий Договор о нижеследующем:</w:t>
      </w:r>
    </w:p>
    <w:p>
      <w:pPr>
        <w:pStyle w:val="Normal"/>
        <w:spacing w:lineRule="auto" w:line="276" w:before="120" w:after="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1. Предмет договора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 Заказчик поручает, а Исполнитель, аккредитованный в качестве Органа по сертификации (аттестат аккредитации №                   ), принимает на себя обязанности оказать услуги связанные с процедурой подтверждения соответствия продукции установленным требованиям Технических регламентов Евразийского экономического союза в соответствии с областью аккредитации (далее – Услуги).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 Выбор услуги, наименование продукции, объем ее производства или реализации определяются заявлением/заявкой Заказчика и компетенцией Исполнителя.</w:t>
      </w:r>
    </w:p>
    <w:p>
      <w:pPr>
        <w:pStyle w:val="Normal"/>
        <w:spacing w:lineRule="auto" w:line="276" w:before="120" w:after="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2. Права и обязанности Сторон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 Исполнитель обязуется: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2.1.1. Соблюдать правила и процедуры подтверждения соответствия, установленные в технических регламентах, стандартах и других нормативных документах.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2.1.2. Обеспечить беспристрастность, объективность и независимость результатов подтверждения соответствия.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2.1.3. Нести ответственность за сохранность документов и материальных ценностей, передаваемых Заказчиком для оказания Услуг.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2.1.4. Провести сертификацию в течение _____ (______) дней с момента оплаты Заказчиком Услуг Исполнителя и при условии предоставления им всех необходимых документов и продукции.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2.1.5. Осуществлять экспертизу технической документации, идентификацию образцов, анализ состояния производства, оценку безопасности продукции и подтверждение ее соответствия установленным требованиям, анализ полученных результатов.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2.1.6. По результатам рассмотрения проверки Исполнитель выдает Заказчику сертификат соответствия, либо выдает решение об отказе в выдаче сертификата с указанием причин отказа.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2.1.7. Согласовать с Заказчиком необходимость выполнения всех дополнительных услуг, возникающих в процессе исполнения поручения по настоящему Договору.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2.1.8. Представлять Заказчику по его требованию информацию по вопросам подтверждения соответствия продукции, а также информацию о способах своего финансирования.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2.1.9. Приостанавливать или отменять действие выданного им сертификата соответствия в предусмотренных нормативными документами случаях.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2.1.10. Соблюдать конфиденциальность информации, полученной при оказании Услуг.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 Исполнитель имеет право: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2.2.1. Выбрать аккредитованную испытательную лабораторию для проведения сертифицированных испытаний.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2.2.2. Запрашивать и получать от Заказчика сведения и продукцию, необходимые для оказания Услуг.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2.2.3. В случае предоставления недостоверной информации, содержащейся в документах, предоставленных Заказчиком, выявленных Исполнителем в ходе оказания Услуг, Исполнитель вправе приостановить оказание Услуг, потребовать предоставление необходимых документов. В случае не предоставления Заказчиком необходимых документов, Исполнитель вправе отказаться от исполнения настоящего Договора в одностороннем порядке, а Заказчик обязуется возместить Исполнителю понесенные в связи с таким отказом убытки.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2.2.4. Привлекать к выполнению своих обязанностей по договору других юридических лиц, оставаясь ответственным за выполнение всего объема оказания Услуг.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2.2.5. Запрашивать и получать от Заказчика сведения о претензиях и рекламациях, поступивших на сертифицированную продукцию.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 Заказчик обязуется: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2.3.1. Принять Услуги Исполнителя и оплатить их в сроки и в порядке, указанные в настоящем Договоре.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2.3.2. Представить Исполнителю документы (заверенные копии) и материалы в объеме, необходимом для оказания услуг (выполнения работ) в соответствии с требованиями схем сертификации. В случае нарушения сроков их предоставления, сроки выполнения работ сдвигаются на количество дней задержки.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2.3.3. Выполнить требования Исполнителя или осуществить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характера. Постоянно выполнять сертификационные требования, в том числе требований в отношении использования знака соответствия.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2.3.4.  При необходимости уполномочить своего представителя, наделить правами и обязанностями давать необходимые объяснения и пояснения, принимать результаты Услуг.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2.3.5. Обеспечить соответствие сертифицированной продукции требованиям, установленным стандартами или другими нормативными документами.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2.3.6. Обеспечить условия Исполнителю, для оценивания сертифицируемой продукции, контроля за сертифицированной продукцией (при необходимости), включая предоставление возможности для ознакомления сотрудниками органа по сертификации с документацией и записями, а также, доступа к оборудованию, местам, зонам производства, к производимой продукции, персоналу, субподрядчикам заказчика.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2.3.7. Вести учет рекламаций на сертифицированную продукцию, предоставлять их по запросу Исполнителя.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2.3.8. Выполнять и документировать корректирующие мероприятия для устранения несоответствий продукции установленным требованиям.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2.3.9. Своевременно уведомлять Исполнителя об изменениях, вносимых в сертифицированную продукцию.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2.3.10. Информировать Исполнителя об изменениях, которые могут повлиять на возможности Заказчика соблюдать требования по сертификации продукции, в том числе об изменении организационно-правовой формы, органов управления, местонахождения и контактных данных, модификации продукции или производственного процесса, основных изменений в системе менеджмента качества.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2.3.11. Использовать сертификацию продукции таким образом, чтобы не нанести ущерб репутации Исполнителя, и отказа от каких-либо заявлений, касающихся сертификации продукции, которые могут рассматриваться как непозволительные и вводящие в заблуждение.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2.3.12. В случае представления какому-либо лицу копий документов по подтверждению соответствия воспроизводить их в полном объеме, согласно установленным требованиям.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2.3.13. В случае приостановки или отмены сертификации прекратить использование средств рекламного характера, ссылающихся на сертификацию.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2.3.14. Соблюдать конфиденциальность информации, полученной при оказании Услуг.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 Заказчик имеет право: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2.4.1. Запрашивать и получать от Исполнителя информацию по вопросам связанных с оказанием Услуг.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2.4.2. Обжаловать результаты подтверждения соответствия продукции.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2.4.3. Отказаться от исполнения, поданного им заявления/заявки при условии оплаты фактически понесенных Исполнителем расходов.</w:t>
      </w:r>
    </w:p>
    <w:p>
      <w:pPr>
        <w:pStyle w:val="Normal"/>
        <w:spacing w:lineRule="auto" w:line="276" w:before="120" w:after="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3. Стоимость услуг и порядок расчетов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 Стоимость и сроки оказания Услуг, определяется в дополнительных соглашениях, подписываемых обеими Сторонами.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 Заказчик обязуется произвести 100% предоплату за Услуги после приема Исполнителем заявления/заявки путем перечисления денежных средств на расчетный счет Исполнителя в течение 5 (Пяти) банковских дней с момента получения Заказчиком счета на оплату, выставленным Исполнителем.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 Обязанности Заказчика по оплате считаются выполненными с момента поступления денежных средств на расчетный счет Исполнителя.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 В случае роста цен, Исполнитель обязуется выполнить незавершенные работы по ранее согласованным ценам, при последующем согласовании сторонами новой стоимости работ Исполнителя. О повышении цены Исполнитель обязуется предупредить за 15 дней с последующим подписанием дополнительного соглашения по ценам.</w:t>
      </w:r>
    </w:p>
    <w:p>
      <w:pPr>
        <w:pStyle w:val="Normal"/>
        <w:spacing w:lineRule="auto" w:line="276" w:before="120" w:after="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4. Ответственность Сторон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 За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 Исполнитель также несет ответственность: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4.2.1. За нарушение достоверности и объективности результатов подтверждение соответствия продукции, если не докажет, что такое нарушение произошло по вине Заказчика;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4.2.2. За нарушение достоверности и объективности результатов испытаний продукции, если не докажет, что такое нарушение произошло по вине Заказчика.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 В случае установление вины Исполнителя, Исполнитель обязан возместить убытки, причиненные Заказчику, в пределах стоимости Услуг, при оказании которых выявлены перечисленные нарушения.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4.4. Стороны освобождаются от ответственности, если докажут, что неисполнение или ненадлежащее исполнение обязательств по настоящему Договору произошло вследствие обстоятельств непреодолимой силы или по вине другой Стороны.</w:t>
      </w:r>
    </w:p>
    <w:p>
      <w:pPr>
        <w:pStyle w:val="Normal"/>
        <w:spacing w:lineRule="auto" w:line="276" w:before="120" w:after="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5. Порядок сдачи и приемки работ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 В течение 5 (Пяти) рабочих дней с момента выполнения работ по согласованной Сторонами заявлению/заявке Исполнитель формирует и направляет Заказчику комплект отчетной документации, включающий в себя 2 экземпляра акта сдачи-приемки оказанных работ и счет-фактуру.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 Заказчик в течение 5 (пяти) рабочих дней со дня получения комплекта отчетной документации, обязан подписать и направить 1(Один) экземпляр Акта сдачи-приемки оказанных работ в адрес Исполнителя, а при наличии у него претензий направить Исполнителю мотивированный отказ от приемки работ. В случае не подписания Акта сдачи-приема Заказчиком в течение 5 (пяти) рабочих дней без мотивированной письменной претензии по качеству оказанных услуг, данные услуги считаются выполненными в полном объеме.</w:t>
      </w:r>
    </w:p>
    <w:p>
      <w:pPr>
        <w:pStyle w:val="Normal"/>
        <w:spacing w:lineRule="auto" w:line="276" w:before="120" w:after="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6. Заключительные положения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 Условия настоящего Договора и дополнительных соглашений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6.3. По всем вопросам, не оговоренным в настоящем Договоре, Стороны руководствуются законодательством Российской Федерации.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6.4. Все споры и разногласия между Сторонами решаются путем переговоров, а при не достижении ими согласия и отклонении претензий, спор передается на рассмотрение в Арбитражный суд города Москвы.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6.5. Настоящий Договор вступает в силу с момента его подписания и действует до «__» ______ 2022г.</w:t>
      </w:r>
    </w:p>
    <w:p>
      <w:pPr>
        <w:pStyle w:val="Normal"/>
        <w:spacing w:lineRule="auto" w:line="276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6.6. Настоящий договор составлен в двух экземплярах, имеющих одинаковую силу, по одному экземпляру для каждой из Сторон.</w:t>
      </w:r>
    </w:p>
    <w:p>
      <w:pPr>
        <w:pStyle w:val="Normal"/>
        <w:spacing w:lineRule="auto" w:line="276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7. Адреса, реквизиты и подписи Сторон</w:t>
      </w:r>
    </w:p>
    <w:tbl>
      <w:tblPr>
        <w:tblW w:w="94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78"/>
        <w:gridCol w:w="4785"/>
      </w:tblGrid>
      <w:tr>
        <w:trPr>
          <w:trHeight w:val="3280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keepNext w:val="true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Исполнитель: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«ЦТС»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Юридический/Фактический адрес: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129626, г. Москва, ул. Староалексеевская, д. 5, пом. 217.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 7717532805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КПП 771701001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банка: АО «АЛЬФА-БАНК», г.Москва 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р/сч 40702810501100002570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к/сч 30101810200000000593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БИК 044525593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Тел/Факс: +7 (495) 134-73-94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Заказчик: </w:t>
            </w:r>
          </w:p>
          <w:p>
            <w:pPr>
              <w:pStyle w:val="Normal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Юридический/Фактический адрес: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ИНН/КПП __________/___________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банка: _______________________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Р/С _____________________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К/С _____________________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БИК _____________________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Тел/Факс: _____________________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e-mail: _____________________</w:t>
            </w:r>
          </w:p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50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keepNext w:val="true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директор</w:t>
            </w:r>
          </w:p>
          <w:p>
            <w:pPr>
              <w:pStyle w:val="Normal"/>
              <w:keepNext w:val="true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keepNext w:val="true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 /В.Ю. Новиков/</w:t>
            </w:r>
          </w:p>
          <w:p>
            <w:pPr>
              <w:pStyle w:val="Normal"/>
              <w:keepNext w:val="true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директор</w:t>
            </w:r>
          </w:p>
          <w:p>
            <w:pPr>
              <w:pStyle w:val="Normal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 /_________/</w:t>
            </w:r>
          </w:p>
          <w:p>
            <w:pPr>
              <w:pStyle w:val="Normal"/>
              <w:snapToGrid w:val="false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7a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5</Pages>
  <Words>1677</Words>
  <Characters>9561</Characters>
  <CharactersWithSpaces>11216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2022-04-18T13:28:00Z</dcterms:created>
  <dc:creator>Яна Гончар</dc:creator>
  <dc:description/>
  <dc:language>ru-RU</dc:language>
  <cp:lastModifiedBy>Яна Гончар</cp:lastModifiedBy>
  <dcterms:modified xsi:type="dcterms:W3CDTF">2022-04-18T13:30:00Z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